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2F23" w14:textId="77777777" w:rsidR="00F56702" w:rsidRDefault="00F56702" w:rsidP="00F56702">
      <w:pPr>
        <w:pStyle w:val="1-Normal"/>
      </w:pPr>
    </w:p>
    <w:p w14:paraId="5642FF48" w14:textId="01E05F34" w:rsidR="00F76AE8" w:rsidRPr="007F5298" w:rsidRDefault="00F76AE8" w:rsidP="00600E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5298">
        <w:rPr>
          <w:rFonts w:ascii="Arial" w:hAnsi="Arial" w:cs="Arial"/>
          <w:b/>
          <w:bCs/>
          <w:sz w:val="24"/>
          <w:szCs w:val="24"/>
        </w:rPr>
        <w:t xml:space="preserve">How to Best Prepare and </w:t>
      </w:r>
      <w:r w:rsidR="00ED2E59">
        <w:rPr>
          <w:rFonts w:ascii="Arial" w:hAnsi="Arial" w:cs="Arial"/>
          <w:b/>
          <w:bCs/>
          <w:sz w:val="24"/>
          <w:szCs w:val="24"/>
        </w:rPr>
        <w:t xml:space="preserve">Properly </w:t>
      </w:r>
      <w:r w:rsidRPr="007F5298">
        <w:rPr>
          <w:rFonts w:ascii="Arial" w:hAnsi="Arial" w:cs="Arial"/>
          <w:b/>
          <w:bCs/>
          <w:sz w:val="24"/>
          <w:szCs w:val="24"/>
        </w:rPr>
        <w:t>Maximize Your PPP Loan Forgiveness</w:t>
      </w:r>
    </w:p>
    <w:p w14:paraId="137F483D" w14:textId="268B709B" w:rsidR="000174D8" w:rsidRPr="00600EA5" w:rsidRDefault="00F76AE8" w:rsidP="00600EA5">
      <w:pPr>
        <w:rPr>
          <w:rStyle w:val="A0"/>
          <w:rFonts w:ascii="Arial" w:hAnsi="Arial" w:cs="Arial"/>
          <w:sz w:val="20"/>
          <w:szCs w:val="20"/>
        </w:rPr>
      </w:pPr>
      <w:r w:rsidRPr="00600EA5">
        <w:rPr>
          <w:rStyle w:val="A0"/>
          <w:rFonts w:ascii="Arial" w:hAnsi="Arial" w:cs="Arial"/>
          <w:sz w:val="20"/>
          <w:szCs w:val="20"/>
        </w:rPr>
        <w:t>Now that you’ve funded for the Paycheck Protection Program (PPP)</w:t>
      </w:r>
      <w:r w:rsidR="00ED2E59">
        <w:rPr>
          <w:rStyle w:val="A0"/>
          <w:rFonts w:ascii="Arial" w:hAnsi="Arial" w:cs="Arial"/>
          <w:sz w:val="20"/>
          <w:szCs w:val="20"/>
        </w:rPr>
        <w:t xml:space="preserve"> loan</w:t>
      </w:r>
      <w:r w:rsidRPr="00600EA5">
        <w:rPr>
          <w:rStyle w:val="A0"/>
          <w:rFonts w:ascii="Arial" w:hAnsi="Arial" w:cs="Arial"/>
          <w:sz w:val="20"/>
          <w:szCs w:val="20"/>
        </w:rPr>
        <w:t xml:space="preserve">, it’s time to shift your focus to </w:t>
      </w:r>
      <w:r w:rsidR="00ED2E59">
        <w:rPr>
          <w:rStyle w:val="A0"/>
          <w:rFonts w:ascii="Arial" w:hAnsi="Arial" w:cs="Arial"/>
          <w:sz w:val="20"/>
          <w:szCs w:val="20"/>
        </w:rPr>
        <w:t xml:space="preserve">properly </w:t>
      </w:r>
      <w:r w:rsidRPr="00600EA5">
        <w:rPr>
          <w:rStyle w:val="A0"/>
          <w:rFonts w:ascii="Arial" w:hAnsi="Arial" w:cs="Arial"/>
          <w:sz w:val="20"/>
          <w:szCs w:val="20"/>
        </w:rPr>
        <w:t>maximizing the loan forgiveness</w:t>
      </w:r>
      <w:r w:rsidR="00ED2E59">
        <w:rPr>
          <w:rStyle w:val="A0"/>
          <w:rFonts w:ascii="Arial" w:hAnsi="Arial" w:cs="Arial"/>
          <w:sz w:val="20"/>
          <w:szCs w:val="20"/>
        </w:rPr>
        <w:t xml:space="preserve"> option</w:t>
      </w:r>
      <w:r w:rsidRPr="00600EA5">
        <w:rPr>
          <w:rStyle w:val="A0"/>
          <w:rFonts w:ascii="Arial" w:hAnsi="Arial" w:cs="Arial"/>
          <w:sz w:val="20"/>
          <w:szCs w:val="20"/>
        </w:rPr>
        <w:t xml:space="preserve">. </w:t>
      </w:r>
      <w:r w:rsidR="000174D8" w:rsidRPr="00600EA5">
        <w:rPr>
          <w:rStyle w:val="A0"/>
          <w:rFonts w:ascii="Arial" w:hAnsi="Arial" w:cs="Arial"/>
          <w:sz w:val="20"/>
          <w:szCs w:val="20"/>
        </w:rPr>
        <w:t>Although</w:t>
      </w:r>
      <w:r w:rsidRPr="00600EA5">
        <w:rPr>
          <w:rStyle w:val="A0"/>
          <w:rFonts w:ascii="Arial" w:hAnsi="Arial" w:cs="Arial"/>
          <w:sz w:val="20"/>
          <w:szCs w:val="20"/>
        </w:rPr>
        <w:t xml:space="preserve"> </w:t>
      </w:r>
      <w:r w:rsidR="000174D8" w:rsidRPr="00600EA5">
        <w:rPr>
          <w:rStyle w:val="A0"/>
          <w:rFonts w:ascii="Arial" w:hAnsi="Arial" w:cs="Arial"/>
          <w:sz w:val="20"/>
          <w:szCs w:val="20"/>
        </w:rPr>
        <w:t>there still remains further clarification and guidance from the U.S Small Business Administration on how exactly the loan forgiveness will be facilitated</w:t>
      </w:r>
      <w:r w:rsidR="00ED2E59">
        <w:rPr>
          <w:rStyle w:val="A0"/>
          <w:rFonts w:ascii="Arial" w:hAnsi="Arial" w:cs="Arial"/>
          <w:sz w:val="20"/>
          <w:szCs w:val="20"/>
        </w:rPr>
        <w:t xml:space="preserve">, there are many </w:t>
      </w:r>
      <w:r w:rsidRPr="00600EA5">
        <w:rPr>
          <w:rStyle w:val="A0"/>
          <w:rFonts w:ascii="Arial" w:hAnsi="Arial" w:cs="Arial"/>
          <w:sz w:val="20"/>
          <w:szCs w:val="20"/>
        </w:rPr>
        <w:t xml:space="preserve">key </w:t>
      </w:r>
      <w:r w:rsidR="000174D8" w:rsidRPr="00600EA5">
        <w:rPr>
          <w:rStyle w:val="A0"/>
          <w:rFonts w:ascii="Arial" w:hAnsi="Arial" w:cs="Arial"/>
          <w:sz w:val="20"/>
          <w:szCs w:val="20"/>
        </w:rPr>
        <w:t xml:space="preserve">factors to consider when </w:t>
      </w:r>
      <w:r w:rsidR="00ED2E59">
        <w:rPr>
          <w:rStyle w:val="A0"/>
          <w:rFonts w:ascii="Arial" w:hAnsi="Arial" w:cs="Arial"/>
          <w:sz w:val="20"/>
          <w:szCs w:val="20"/>
        </w:rPr>
        <w:t xml:space="preserve">evaluating and </w:t>
      </w:r>
      <w:r w:rsidR="000174D8" w:rsidRPr="00600EA5">
        <w:rPr>
          <w:rStyle w:val="A0"/>
          <w:rFonts w:ascii="Arial" w:hAnsi="Arial" w:cs="Arial"/>
          <w:sz w:val="20"/>
          <w:szCs w:val="20"/>
        </w:rPr>
        <w:t xml:space="preserve">requesting forgiveness </w:t>
      </w:r>
      <w:r w:rsidR="00ED2E59">
        <w:rPr>
          <w:rStyle w:val="A0"/>
          <w:rFonts w:ascii="Arial" w:hAnsi="Arial" w:cs="Arial"/>
          <w:sz w:val="20"/>
          <w:szCs w:val="20"/>
        </w:rPr>
        <w:t>under a PPP loan</w:t>
      </w:r>
      <w:r w:rsidR="000174D8" w:rsidRPr="00600EA5">
        <w:rPr>
          <w:rStyle w:val="A0"/>
          <w:rFonts w:ascii="Arial" w:hAnsi="Arial" w:cs="Arial"/>
          <w:sz w:val="20"/>
          <w:szCs w:val="20"/>
        </w:rPr>
        <w:t xml:space="preserve">. </w:t>
      </w:r>
    </w:p>
    <w:p w14:paraId="3E781D4F" w14:textId="0C1BDB2A" w:rsidR="00F76AE8" w:rsidRPr="00600EA5" w:rsidRDefault="000174D8" w:rsidP="00600EA5">
      <w:pPr>
        <w:rPr>
          <w:rFonts w:ascii="Arial" w:hAnsi="Arial" w:cs="Arial"/>
          <w:b/>
          <w:bCs/>
          <w:sz w:val="20"/>
          <w:szCs w:val="20"/>
        </w:rPr>
      </w:pPr>
      <w:r w:rsidRPr="00600EA5">
        <w:rPr>
          <w:rFonts w:ascii="Arial" w:hAnsi="Arial" w:cs="Arial"/>
          <w:b/>
          <w:bCs/>
          <w:sz w:val="20"/>
          <w:szCs w:val="20"/>
        </w:rPr>
        <w:t>Authorized/Forgivable Expenses</w:t>
      </w:r>
      <w:r w:rsidR="007F5298">
        <w:rPr>
          <w:rFonts w:ascii="Arial" w:hAnsi="Arial" w:cs="Arial"/>
          <w:b/>
          <w:bCs/>
          <w:sz w:val="20"/>
          <w:szCs w:val="20"/>
        </w:rPr>
        <w:t>:</w:t>
      </w:r>
    </w:p>
    <w:p w14:paraId="2E444D80" w14:textId="39A3ED4F" w:rsidR="00F76AE8" w:rsidRPr="00600EA5" w:rsidRDefault="00F76AE8" w:rsidP="00600EA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00EA5">
        <w:rPr>
          <w:rFonts w:ascii="Arial" w:hAnsi="Arial" w:cs="Arial"/>
          <w:sz w:val="20"/>
          <w:szCs w:val="20"/>
        </w:rPr>
        <w:t xml:space="preserve">Loan </w:t>
      </w:r>
      <w:r w:rsidR="00600EA5" w:rsidRPr="00600EA5">
        <w:rPr>
          <w:rFonts w:ascii="Arial" w:hAnsi="Arial" w:cs="Arial"/>
          <w:sz w:val="20"/>
          <w:szCs w:val="20"/>
        </w:rPr>
        <w:t>F</w:t>
      </w:r>
      <w:r w:rsidRPr="00600EA5">
        <w:rPr>
          <w:rFonts w:ascii="Arial" w:hAnsi="Arial" w:cs="Arial"/>
          <w:sz w:val="20"/>
          <w:szCs w:val="20"/>
        </w:rPr>
        <w:t xml:space="preserve">orgiveness </w:t>
      </w:r>
      <w:r w:rsidR="00600EA5" w:rsidRPr="00600EA5">
        <w:rPr>
          <w:rFonts w:ascii="Arial" w:hAnsi="Arial" w:cs="Arial"/>
          <w:sz w:val="20"/>
          <w:szCs w:val="20"/>
        </w:rPr>
        <w:t>Term</w:t>
      </w:r>
      <w:r w:rsidR="008C2A96">
        <w:rPr>
          <w:rFonts w:ascii="Arial" w:hAnsi="Arial" w:cs="Arial"/>
          <w:sz w:val="20"/>
          <w:szCs w:val="20"/>
        </w:rPr>
        <w:t xml:space="preserve"> -</w:t>
      </w:r>
      <w:r w:rsidRPr="00600EA5">
        <w:rPr>
          <w:rFonts w:ascii="Arial" w:hAnsi="Arial" w:cs="Arial"/>
          <w:sz w:val="20"/>
          <w:szCs w:val="20"/>
        </w:rPr>
        <w:t xml:space="preserve"> </w:t>
      </w:r>
      <w:r w:rsidR="00600EA5" w:rsidRPr="00600EA5">
        <w:rPr>
          <w:rFonts w:ascii="Arial" w:hAnsi="Arial" w:cs="Arial"/>
          <w:sz w:val="20"/>
          <w:szCs w:val="20"/>
        </w:rPr>
        <w:t>expenses</w:t>
      </w:r>
      <w:r w:rsidRPr="00600EA5">
        <w:rPr>
          <w:rFonts w:ascii="Arial" w:hAnsi="Arial" w:cs="Arial"/>
          <w:sz w:val="20"/>
          <w:szCs w:val="20"/>
        </w:rPr>
        <w:t xml:space="preserve"> during </w:t>
      </w:r>
      <w:r w:rsidR="000174D8" w:rsidRPr="00600EA5">
        <w:rPr>
          <w:rFonts w:ascii="Arial" w:hAnsi="Arial" w:cs="Arial"/>
          <w:sz w:val="20"/>
          <w:szCs w:val="20"/>
        </w:rPr>
        <w:t>8-week</w:t>
      </w:r>
      <w:r w:rsidRPr="00600EA5">
        <w:rPr>
          <w:rFonts w:ascii="Arial" w:hAnsi="Arial" w:cs="Arial"/>
          <w:sz w:val="20"/>
          <w:szCs w:val="20"/>
        </w:rPr>
        <w:t xml:space="preserve"> period beginning on loan disbursement date</w:t>
      </w:r>
    </w:p>
    <w:p w14:paraId="2B9061FB" w14:textId="1DD78D63" w:rsidR="00F76AE8" w:rsidRPr="008C2A96" w:rsidRDefault="00F76AE8" w:rsidP="008C2A9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C2A96">
        <w:rPr>
          <w:rFonts w:ascii="Arial" w:hAnsi="Arial" w:cs="Arial"/>
          <w:sz w:val="20"/>
          <w:szCs w:val="20"/>
        </w:rPr>
        <w:t xml:space="preserve">Payroll Costs </w:t>
      </w:r>
      <w:r w:rsidR="008C2A96" w:rsidRPr="008C2A96">
        <w:rPr>
          <w:rFonts w:ascii="Arial" w:hAnsi="Arial" w:cs="Arial"/>
          <w:sz w:val="20"/>
          <w:szCs w:val="20"/>
        </w:rPr>
        <w:t xml:space="preserve">- </w:t>
      </w:r>
      <w:r w:rsidRPr="008C2A96">
        <w:rPr>
          <w:rFonts w:ascii="Arial" w:hAnsi="Arial" w:cs="Arial"/>
          <w:sz w:val="20"/>
          <w:szCs w:val="20"/>
        </w:rPr>
        <w:t xml:space="preserve">gross </w:t>
      </w:r>
      <w:r w:rsidR="000174D8" w:rsidRPr="008C2A96">
        <w:rPr>
          <w:rFonts w:ascii="Arial" w:hAnsi="Arial" w:cs="Arial"/>
          <w:sz w:val="20"/>
          <w:szCs w:val="20"/>
        </w:rPr>
        <w:t xml:space="preserve">wages less than </w:t>
      </w:r>
      <w:r w:rsidRPr="008C2A96">
        <w:rPr>
          <w:rFonts w:ascii="Arial" w:hAnsi="Arial" w:cs="Arial"/>
          <w:sz w:val="20"/>
          <w:szCs w:val="20"/>
        </w:rPr>
        <w:t>$100,000, vacation/sick leave, employer</w:t>
      </w:r>
      <w:r w:rsidR="000174D8" w:rsidRPr="008C2A96">
        <w:rPr>
          <w:rFonts w:ascii="Arial" w:hAnsi="Arial" w:cs="Arial"/>
          <w:sz w:val="20"/>
          <w:szCs w:val="20"/>
        </w:rPr>
        <w:t xml:space="preserve"> </w:t>
      </w:r>
      <w:r w:rsidRPr="008C2A96">
        <w:rPr>
          <w:rFonts w:ascii="Arial" w:hAnsi="Arial" w:cs="Arial"/>
          <w:sz w:val="20"/>
          <w:szCs w:val="20"/>
        </w:rPr>
        <w:t xml:space="preserve">paid group health care and retirement benefits, </w:t>
      </w:r>
      <w:r w:rsidR="008C2A96" w:rsidRPr="008C2A96">
        <w:rPr>
          <w:rFonts w:ascii="Arial" w:hAnsi="Arial" w:cs="Arial"/>
          <w:sz w:val="20"/>
          <w:szCs w:val="20"/>
        </w:rPr>
        <w:t xml:space="preserve">and </w:t>
      </w:r>
      <w:r w:rsidRPr="008C2A96">
        <w:rPr>
          <w:rFonts w:ascii="Arial" w:hAnsi="Arial" w:cs="Arial"/>
          <w:sz w:val="20"/>
          <w:szCs w:val="20"/>
        </w:rPr>
        <w:t>SUTA</w:t>
      </w:r>
      <w:r w:rsidR="008C2A96">
        <w:rPr>
          <w:rFonts w:ascii="Arial" w:hAnsi="Arial" w:cs="Arial"/>
          <w:sz w:val="20"/>
          <w:szCs w:val="20"/>
        </w:rPr>
        <w:t xml:space="preserve"> (</w:t>
      </w:r>
      <w:r w:rsidRPr="008C2A96">
        <w:rPr>
          <w:rFonts w:ascii="Arial" w:hAnsi="Arial" w:cs="Arial"/>
          <w:sz w:val="20"/>
          <w:szCs w:val="20"/>
        </w:rPr>
        <w:t>at least 75%</w:t>
      </w:r>
      <w:r w:rsidR="000174D8" w:rsidRPr="008C2A96">
        <w:rPr>
          <w:rFonts w:ascii="Arial" w:hAnsi="Arial" w:cs="Arial"/>
          <w:sz w:val="20"/>
          <w:szCs w:val="20"/>
        </w:rPr>
        <w:t xml:space="preserve"> of the forgiveness </w:t>
      </w:r>
      <w:r w:rsidRPr="008C2A96">
        <w:rPr>
          <w:rFonts w:ascii="Arial" w:hAnsi="Arial" w:cs="Arial"/>
          <w:b/>
          <w:bCs/>
          <w:sz w:val="20"/>
          <w:szCs w:val="20"/>
          <w:u w:val="single"/>
        </w:rPr>
        <w:t>must</w:t>
      </w:r>
      <w:r w:rsidRPr="008C2A96">
        <w:rPr>
          <w:rFonts w:ascii="Arial" w:hAnsi="Arial" w:cs="Arial"/>
          <w:sz w:val="20"/>
          <w:szCs w:val="20"/>
        </w:rPr>
        <w:t xml:space="preserve"> be </w:t>
      </w:r>
      <w:r w:rsidR="008C2A96">
        <w:rPr>
          <w:rFonts w:ascii="Arial" w:hAnsi="Arial" w:cs="Arial"/>
          <w:sz w:val="20"/>
          <w:szCs w:val="20"/>
        </w:rPr>
        <w:t xml:space="preserve">incurred and paid in </w:t>
      </w:r>
      <w:r w:rsidRPr="008C2A96">
        <w:rPr>
          <w:rFonts w:ascii="Arial" w:hAnsi="Arial" w:cs="Arial"/>
          <w:sz w:val="20"/>
          <w:szCs w:val="20"/>
        </w:rPr>
        <w:t>this category</w:t>
      </w:r>
      <w:r w:rsidR="000174D8" w:rsidRPr="008C2A96">
        <w:rPr>
          <w:rFonts w:ascii="Arial" w:hAnsi="Arial" w:cs="Arial"/>
          <w:sz w:val="20"/>
          <w:szCs w:val="20"/>
        </w:rPr>
        <w:t xml:space="preserve"> to maximize forgiveness</w:t>
      </w:r>
      <w:r w:rsidR="008C2A96">
        <w:rPr>
          <w:rFonts w:ascii="Arial" w:hAnsi="Arial" w:cs="Arial"/>
          <w:sz w:val="20"/>
          <w:szCs w:val="20"/>
        </w:rPr>
        <w:t>)</w:t>
      </w:r>
    </w:p>
    <w:p w14:paraId="5D0BAC87" w14:textId="3C702036" w:rsidR="00F76AE8" w:rsidRPr="00600EA5" w:rsidRDefault="00F76AE8" w:rsidP="00600EA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00EA5">
        <w:rPr>
          <w:rFonts w:ascii="Arial" w:hAnsi="Arial" w:cs="Arial"/>
          <w:sz w:val="20"/>
          <w:szCs w:val="20"/>
        </w:rPr>
        <w:t>Mortgage Interest – real / personal property loan</w:t>
      </w:r>
      <w:r w:rsidR="008C2A96">
        <w:rPr>
          <w:rFonts w:ascii="Arial" w:hAnsi="Arial" w:cs="Arial"/>
          <w:sz w:val="20"/>
          <w:szCs w:val="20"/>
        </w:rPr>
        <w:t>s</w:t>
      </w:r>
      <w:r w:rsidRPr="00600EA5">
        <w:rPr>
          <w:rFonts w:ascii="Arial" w:hAnsi="Arial" w:cs="Arial"/>
          <w:sz w:val="20"/>
          <w:szCs w:val="20"/>
        </w:rPr>
        <w:t xml:space="preserve"> by 2/15/2020</w:t>
      </w:r>
    </w:p>
    <w:p w14:paraId="23E6A8C9" w14:textId="34908C83" w:rsidR="00F76AE8" w:rsidRPr="00600EA5" w:rsidRDefault="00F76AE8" w:rsidP="00600EA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00EA5">
        <w:rPr>
          <w:rFonts w:ascii="Arial" w:hAnsi="Arial" w:cs="Arial"/>
          <w:sz w:val="20"/>
          <w:szCs w:val="20"/>
        </w:rPr>
        <w:t>Rent – real / personal property lease</w:t>
      </w:r>
      <w:r w:rsidR="008C2A96">
        <w:rPr>
          <w:rFonts w:ascii="Arial" w:hAnsi="Arial" w:cs="Arial"/>
          <w:sz w:val="20"/>
          <w:szCs w:val="20"/>
        </w:rPr>
        <w:t>s</w:t>
      </w:r>
      <w:r w:rsidRPr="00600EA5">
        <w:rPr>
          <w:rFonts w:ascii="Arial" w:hAnsi="Arial" w:cs="Arial"/>
          <w:sz w:val="20"/>
          <w:szCs w:val="20"/>
        </w:rPr>
        <w:t xml:space="preserve"> by 2/15/2020</w:t>
      </w:r>
    </w:p>
    <w:p w14:paraId="62E5F684" w14:textId="55A61A6F" w:rsidR="00F76AE8" w:rsidRPr="00600EA5" w:rsidRDefault="00F76AE8" w:rsidP="00600EA5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600EA5">
        <w:rPr>
          <w:rFonts w:ascii="Arial" w:hAnsi="Arial" w:cs="Arial"/>
          <w:sz w:val="20"/>
          <w:szCs w:val="20"/>
        </w:rPr>
        <w:t>Utilities – service started by 2/15/2020</w:t>
      </w:r>
    </w:p>
    <w:p w14:paraId="2B2F1B71" w14:textId="22E595FC" w:rsidR="00F76AE8" w:rsidRPr="00600EA5" w:rsidRDefault="000174D8" w:rsidP="00600EA5">
      <w:pPr>
        <w:rPr>
          <w:rFonts w:ascii="Arial" w:hAnsi="Arial" w:cs="Arial"/>
          <w:b/>
          <w:bCs/>
          <w:sz w:val="20"/>
          <w:szCs w:val="20"/>
        </w:rPr>
      </w:pPr>
      <w:r w:rsidRPr="00600EA5">
        <w:rPr>
          <w:rFonts w:ascii="Arial" w:hAnsi="Arial" w:cs="Arial"/>
          <w:b/>
          <w:bCs/>
          <w:sz w:val="20"/>
          <w:szCs w:val="20"/>
        </w:rPr>
        <w:t xml:space="preserve">Maintaining </w:t>
      </w:r>
      <w:r w:rsidR="00600EA5" w:rsidRPr="00600EA5">
        <w:rPr>
          <w:rFonts w:ascii="Arial" w:hAnsi="Arial" w:cs="Arial"/>
          <w:b/>
          <w:bCs/>
          <w:sz w:val="20"/>
          <w:szCs w:val="20"/>
        </w:rPr>
        <w:t>Proper Documentation for Loan Forgiveness</w:t>
      </w:r>
      <w:r w:rsidR="007F5298">
        <w:rPr>
          <w:rFonts w:ascii="Arial" w:hAnsi="Arial" w:cs="Arial"/>
          <w:b/>
          <w:bCs/>
          <w:sz w:val="20"/>
          <w:szCs w:val="20"/>
        </w:rPr>
        <w:t>:</w:t>
      </w:r>
    </w:p>
    <w:p w14:paraId="0573DB14" w14:textId="2F151D51" w:rsidR="002F17E4" w:rsidRPr="00600EA5" w:rsidRDefault="002F17E4" w:rsidP="00600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00EA5">
        <w:rPr>
          <w:rFonts w:ascii="Arial" w:hAnsi="Arial" w:cs="Arial"/>
          <w:sz w:val="20"/>
          <w:szCs w:val="20"/>
        </w:rPr>
        <w:t xml:space="preserve">Keeping a clean and accurate record of expenses will be the most important part of maximizing your forgiveness. </w:t>
      </w:r>
    </w:p>
    <w:p w14:paraId="02CE1CFA" w14:textId="77777777" w:rsidR="002F17E4" w:rsidRPr="00600EA5" w:rsidRDefault="000174D8" w:rsidP="00600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00EA5">
        <w:rPr>
          <w:rFonts w:ascii="Arial" w:hAnsi="Arial" w:cs="Arial"/>
          <w:sz w:val="20"/>
          <w:szCs w:val="20"/>
        </w:rPr>
        <w:t>Consider putting the loan proceeds into a separate bank account to allow clean allocation and reduce the risk of co-mingling the loan proceeds with the funds your company already has.</w:t>
      </w:r>
    </w:p>
    <w:p w14:paraId="104D0F64" w14:textId="0D43B3AE" w:rsidR="00F76AE8" w:rsidRPr="00600EA5" w:rsidRDefault="002F17E4" w:rsidP="00600EA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00EA5">
        <w:rPr>
          <w:rFonts w:ascii="Arial" w:hAnsi="Arial" w:cs="Arial"/>
          <w:sz w:val="20"/>
          <w:szCs w:val="20"/>
        </w:rPr>
        <w:t xml:space="preserve">Start gathering the potential documents that are related to your qualified expense; </w:t>
      </w:r>
      <w:r w:rsidR="00F76AE8" w:rsidRPr="00600EA5">
        <w:rPr>
          <w:rFonts w:ascii="Arial" w:hAnsi="Arial" w:cs="Arial"/>
          <w:color w:val="000000"/>
          <w:sz w:val="20"/>
          <w:szCs w:val="20"/>
        </w:rPr>
        <w:t>as of 2/15/2020</w:t>
      </w:r>
    </w:p>
    <w:p w14:paraId="72F8BCCC" w14:textId="1EC99EFE" w:rsidR="00F76AE8" w:rsidRPr="00600EA5" w:rsidRDefault="00F76AE8" w:rsidP="00600EA5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 xml:space="preserve">Utilities, </w:t>
      </w:r>
      <w:r w:rsidR="008C2A96">
        <w:rPr>
          <w:rFonts w:ascii="Arial" w:hAnsi="Arial" w:cs="Arial"/>
          <w:color w:val="000000"/>
          <w:sz w:val="20"/>
          <w:szCs w:val="20"/>
        </w:rPr>
        <w:t>H</w:t>
      </w:r>
      <w:r w:rsidRPr="00600EA5">
        <w:rPr>
          <w:rFonts w:ascii="Arial" w:hAnsi="Arial" w:cs="Arial"/>
          <w:color w:val="000000"/>
          <w:sz w:val="20"/>
          <w:szCs w:val="20"/>
        </w:rPr>
        <w:t xml:space="preserve">ealth </w:t>
      </w:r>
      <w:r w:rsidR="008C2A96">
        <w:rPr>
          <w:rFonts w:ascii="Arial" w:hAnsi="Arial" w:cs="Arial"/>
          <w:color w:val="000000"/>
          <w:sz w:val="20"/>
          <w:szCs w:val="20"/>
        </w:rPr>
        <w:t>I</w:t>
      </w:r>
      <w:r w:rsidRPr="00600EA5">
        <w:rPr>
          <w:rFonts w:ascii="Arial" w:hAnsi="Arial" w:cs="Arial"/>
          <w:color w:val="000000"/>
          <w:sz w:val="20"/>
          <w:szCs w:val="20"/>
        </w:rPr>
        <w:t>nsurance</w:t>
      </w:r>
      <w:r w:rsidR="002F17E4" w:rsidRPr="00600EA5">
        <w:rPr>
          <w:rFonts w:ascii="Arial" w:hAnsi="Arial" w:cs="Arial"/>
          <w:color w:val="000000"/>
          <w:sz w:val="20"/>
          <w:szCs w:val="20"/>
        </w:rPr>
        <w:t xml:space="preserve"> - c</w:t>
      </w:r>
      <w:r w:rsidRPr="00600EA5">
        <w:rPr>
          <w:rFonts w:ascii="Arial" w:hAnsi="Arial" w:cs="Arial"/>
          <w:color w:val="000000"/>
          <w:sz w:val="20"/>
          <w:szCs w:val="20"/>
        </w:rPr>
        <w:t>op</w:t>
      </w:r>
      <w:r w:rsidR="002F17E4" w:rsidRPr="00600EA5">
        <w:rPr>
          <w:rFonts w:ascii="Arial" w:hAnsi="Arial" w:cs="Arial"/>
          <w:color w:val="000000"/>
          <w:sz w:val="20"/>
          <w:szCs w:val="20"/>
        </w:rPr>
        <w:t>ies</w:t>
      </w:r>
      <w:r w:rsidRPr="00600EA5">
        <w:rPr>
          <w:rFonts w:ascii="Arial" w:hAnsi="Arial" w:cs="Arial"/>
          <w:color w:val="000000"/>
          <w:sz w:val="20"/>
          <w:szCs w:val="20"/>
        </w:rPr>
        <w:t xml:space="preserve"> of the February</w:t>
      </w:r>
      <w:r w:rsidR="002F17E4" w:rsidRPr="00600EA5">
        <w:rPr>
          <w:rFonts w:ascii="Arial" w:hAnsi="Arial" w:cs="Arial"/>
          <w:color w:val="000000"/>
          <w:sz w:val="20"/>
          <w:szCs w:val="20"/>
        </w:rPr>
        <w:t>’s</w:t>
      </w:r>
      <w:r w:rsidRPr="00600EA5">
        <w:rPr>
          <w:rFonts w:ascii="Arial" w:hAnsi="Arial" w:cs="Arial"/>
          <w:color w:val="000000"/>
          <w:sz w:val="20"/>
          <w:szCs w:val="20"/>
        </w:rPr>
        <w:t xml:space="preserve"> bill</w:t>
      </w:r>
      <w:r w:rsidR="002F17E4" w:rsidRPr="00600EA5">
        <w:rPr>
          <w:rFonts w:ascii="Arial" w:hAnsi="Arial" w:cs="Arial"/>
          <w:color w:val="000000"/>
          <w:sz w:val="20"/>
          <w:szCs w:val="20"/>
        </w:rPr>
        <w:t>s</w:t>
      </w:r>
      <w:r w:rsidRPr="00600EA5">
        <w:rPr>
          <w:rFonts w:ascii="Arial" w:hAnsi="Arial" w:cs="Arial"/>
          <w:color w:val="000000"/>
          <w:sz w:val="20"/>
          <w:szCs w:val="20"/>
        </w:rPr>
        <w:t xml:space="preserve"> that includes 2/15</w:t>
      </w:r>
    </w:p>
    <w:p w14:paraId="4B6FCF07" w14:textId="7867EB56" w:rsidR="00F76AE8" w:rsidRPr="00600EA5" w:rsidRDefault="00F76AE8" w:rsidP="00600EA5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>Rent</w:t>
      </w:r>
      <w:r w:rsidR="002F17E4" w:rsidRPr="00600EA5">
        <w:rPr>
          <w:rFonts w:ascii="Arial" w:hAnsi="Arial" w:cs="Arial"/>
          <w:color w:val="000000"/>
          <w:sz w:val="20"/>
          <w:szCs w:val="20"/>
        </w:rPr>
        <w:t xml:space="preserve"> - c</w:t>
      </w:r>
      <w:r w:rsidRPr="00600EA5">
        <w:rPr>
          <w:rFonts w:ascii="Arial" w:hAnsi="Arial" w:cs="Arial"/>
          <w:color w:val="000000"/>
          <w:sz w:val="20"/>
          <w:szCs w:val="20"/>
        </w:rPr>
        <w:t>opy of the lease</w:t>
      </w:r>
    </w:p>
    <w:p w14:paraId="1B660F32" w14:textId="0D60E34B" w:rsidR="00F76AE8" w:rsidRPr="00600EA5" w:rsidRDefault="00F76AE8" w:rsidP="00600EA5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 xml:space="preserve">Mortgage Interest </w:t>
      </w:r>
      <w:r w:rsidR="002F17E4" w:rsidRPr="00600EA5">
        <w:rPr>
          <w:rFonts w:ascii="Arial" w:hAnsi="Arial" w:cs="Arial"/>
          <w:color w:val="000000"/>
          <w:sz w:val="20"/>
          <w:szCs w:val="20"/>
        </w:rPr>
        <w:t>- c</w:t>
      </w:r>
      <w:r w:rsidRPr="00600EA5">
        <w:rPr>
          <w:rFonts w:ascii="Arial" w:hAnsi="Arial" w:cs="Arial"/>
          <w:color w:val="000000"/>
          <w:sz w:val="20"/>
          <w:szCs w:val="20"/>
        </w:rPr>
        <w:t>opy of the note</w:t>
      </w:r>
    </w:p>
    <w:p w14:paraId="3561A7DD" w14:textId="40208B17" w:rsidR="00F76AE8" w:rsidRPr="00600EA5" w:rsidRDefault="00F76AE8" w:rsidP="00600EA5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>Retirement</w:t>
      </w:r>
      <w:r w:rsidR="002F17E4" w:rsidRPr="00600EA5">
        <w:rPr>
          <w:rFonts w:ascii="Arial" w:hAnsi="Arial" w:cs="Arial"/>
          <w:color w:val="000000"/>
          <w:sz w:val="20"/>
          <w:szCs w:val="20"/>
        </w:rPr>
        <w:t xml:space="preserve"> accounts</w:t>
      </w:r>
      <w:r w:rsidRPr="00600EA5">
        <w:rPr>
          <w:rFonts w:ascii="Arial" w:hAnsi="Arial" w:cs="Arial"/>
          <w:color w:val="000000"/>
          <w:sz w:val="20"/>
          <w:szCs w:val="20"/>
        </w:rPr>
        <w:t xml:space="preserve"> – copy of the plan document</w:t>
      </w:r>
    </w:p>
    <w:p w14:paraId="3B15AF28" w14:textId="68A4C294" w:rsidR="002F17E4" w:rsidRPr="00600EA5" w:rsidRDefault="002F17E4" w:rsidP="00600EA5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 xml:space="preserve">Payroll </w:t>
      </w:r>
      <w:r w:rsidR="00044F97">
        <w:rPr>
          <w:rFonts w:ascii="Arial" w:hAnsi="Arial" w:cs="Arial"/>
          <w:color w:val="000000"/>
          <w:sz w:val="20"/>
          <w:szCs w:val="20"/>
        </w:rPr>
        <w:t>Documentation</w:t>
      </w:r>
      <w:r w:rsidR="00600EA5" w:rsidRPr="00600EA5">
        <w:rPr>
          <w:rFonts w:ascii="Arial" w:hAnsi="Arial" w:cs="Arial"/>
          <w:color w:val="000000"/>
          <w:sz w:val="20"/>
          <w:szCs w:val="20"/>
        </w:rPr>
        <w:t xml:space="preserve"> / Full</w:t>
      </w:r>
      <w:r w:rsidR="00600EA5" w:rsidRPr="00600EA5">
        <w:rPr>
          <w:rFonts w:ascii="Cambria Math" w:hAnsi="Cambria Math" w:cs="Cambria Math"/>
          <w:color w:val="000000"/>
          <w:sz w:val="20"/>
          <w:szCs w:val="20"/>
        </w:rPr>
        <w:t>‐</w:t>
      </w:r>
      <w:r w:rsidR="00600EA5" w:rsidRPr="00600EA5">
        <w:rPr>
          <w:rFonts w:ascii="Arial" w:hAnsi="Arial" w:cs="Arial"/>
          <w:color w:val="000000"/>
          <w:sz w:val="20"/>
          <w:szCs w:val="20"/>
        </w:rPr>
        <w:t xml:space="preserve">time equivalents Schedules </w:t>
      </w:r>
    </w:p>
    <w:p w14:paraId="663BAEF0" w14:textId="2857604A" w:rsidR="00F76AE8" w:rsidRPr="00600EA5" w:rsidRDefault="00F76AE8" w:rsidP="00600EA5">
      <w:pPr>
        <w:pStyle w:val="ListParagraph"/>
        <w:numPr>
          <w:ilvl w:val="2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>Full</w:t>
      </w:r>
      <w:r w:rsidRPr="00600EA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600EA5">
        <w:rPr>
          <w:rFonts w:ascii="Arial" w:hAnsi="Arial" w:cs="Arial"/>
          <w:color w:val="000000"/>
          <w:sz w:val="20"/>
          <w:szCs w:val="20"/>
        </w:rPr>
        <w:t>time equivalents (2 different periods)</w:t>
      </w:r>
    </w:p>
    <w:p w14:paraId="240F8E2C" w14:textId="3B10CD61" w:rsidR="00F76AE8" w:rsidRPr="00600EA5" w:rsidRDefault="00F76AE8" w:rsidP="00600EA5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>Last full quarter average wages per employee</w:t>
      </w:r>
    </w:p>
    <w:p w14:paraId="34E78486" w14:textId="74635CA2" w:rsidR="002F17E4" w:rsidRPr="00600EA5" w:rsidRDefault="002F17E4" w:rsidP="00600EA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00EA5">
        <w:rPr>
          <w:rFonts w:ascii="Arial" w:hAnsi="Arial" w:cs="Arial"/>
          <w:b/>
          <w:bCs/>
          <w:color w:val="000000"/>
          <w:sz w:val="20"/>
          <w:szCs w:val="20"/>
        </w:rPr>
        <w:t>Tracking Expenses</w:t>
      </w:r>
      <w:r w:rsidR="007F5298">
        <w:rPr>
          <w:rFonts w:ascii="Arial" w:hAnsi="Arial" w:cs="Arial"/>
          <w:b/>
          <w:bCs/>
          <w:color w:val="000000"/>
          <w:sz w:val="20"/>
          <w:szCs w:val="20"/>
        </w:rPr>
        <w:t xml:space="preserve"> During the 8-week period:</w:t>
      </w:r>
    </w:p>
    <w:p w14:paraId="72C736DB" w14:textId="77777777" w:rsidR="002F17E4" w:rsidRPr="00600EA5" w:rsidRDefault="002F17E4" w:rsidP="00600EA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00EA5">
        <w:rPr>
          <w:rFonts w:ascii="Arial" w:hAnsi="Arial" w:cs="Arial"/>
          <w:sz w:val="20"/>
          <w:szCs w:val="20"/>
        </w:rPr>
        <w:t>Utilize a spreadsheet to properly track qualified expense and those “questionable” expenses that may fall under qualified expenses during the forgiveness process.</w:t>
      </w:r>
    </w:p>
    <w:p w14:paraId="0D8BD5AC" w14:textId="039937AB" w:rsidR="00F76AE8" w:rsidRPr="00600EA5" w:rsidRDefault="00F76AE8" w:rsidP="00600EA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 xml:space="preserve">For each qualified expense – show it is </w:t>
      </w:r>
      <w:r w:rsidRPr="00600EA5">
        <w:rPr>
          <w:rFonts w:ascii="Arial" w:hAnsi="Arial" w:cs="Arial"/>
          <w:i/>
          <w:iCs/>
          <w:color w:val="000000"/>
          <w:sz w:val="20"/>
          <w:szCs w:val="20"/>
        </w:rPr>
        <w:t>incurred</w:t>
      </w:r>
      <w:r w:rsidR="008C2A96">
        <w:rPr>
          <w:rFonts w:ascii="Arial" w:hAnsi="Arial" w:cs="Arial"/>
          <w:i/>
          <w:iCs/>
          <w:color w:val="000000"/>
          <w:sz w:val="20"/>
          <w:szCs w:val="20"/>
        </w:rPr>
        <w:t xml:space="preserve"> and paid</w:t>
      </w:r>
    </w:p>
    <w:p w14:paraId="4890E7FF" w14:textId="3B5085CC" w:rsidR="00F76AE8" w:rsidRPr="00600EA5" w:rsidRDefault="00F76AE8" w:rsidP="00600EA5">
      <w:pPr>
        <w:pStyle w:val="ListParagraph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>Enter it into your tracking spreadsheet</w:t>
      </w:r>
    </w:p>
    <w:p w14:paraId="13C64A33" w14:textId="77777777" w:rsidR="00600EA5" w:rsidRPr="00600EA5" w:rsidRDefault="00F76AE8" w:rsidP="00600EA5">
      <w:pPr>
        <w:pStyle w:val="ListParagraph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>Retain the supporting document (wage report, utility bill</w:t>
      </w:r>
      <w:r w:rsidR="00600EA5" w:rsidRPr="00600EA5">
        <w:rPr>
          <w:rFonts w:ascii="Arial" w:hAnsi="Arial" w:cs="Arial"/>
          <w:color w:val="000000"/>
          <w:sz w:val="20"/>
          <w:szCs w:val="20"/>
        </w:rPr>
        <w:t>, etc.</w:t>
      </w:r>
      <w:r w:rsidRPr="00600EA5">
        <w:rPr>
          <w:rFonts w:ascii="Arial" w:hAnsi="Arial" w:cs="Arial"/>
          <w:color w:val="000000"/>
          <w:sz w:val="20"/>
          <w:szCs w:val="20"/>
        </w:rPr>
        <w:t>)</w:t>
      </w:r>
    </w:p>
    <w:p w14:paraId="5B33542A" w14:textId="4ED0FA77" w:rsidR="00600EA5" w:rsidRPr="00600EA5" w:rsidRDefault="00F76AE8" w:rsidP="008C2A96">
      <w:pPr>
        <w:pStyle w:val="ListParagraph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>Ensure the document</w:t>
      </w:r>
      <w:r w:rsidR="008C2A96">
        <w:rPr>
          <w:rFonts w:ascii="Arial" w:hAnsi="Arial" w:cs="Arial"/>
          <w:color w:val="000000"/>
          <w:sz w:val="20"/>
          <w:szCs w:val="20"/>
        </w:rPr>
        <w:t>s</w:t>
      </w:r>
      <w:r w:rsidRPr="00600EA5">
        <w:rPr>
          <w:rFonts w:ascii="Arial" w:hAnsi="Arial" w:cs="Arial"/>
          <w:color w:val="000000"/>
          <w:sz w:val="20"/>
          <w:szCs w:val="20"/>
        </w:rPr>
        <w:t xml:space="preserve"> tie or reconciles to the payment made</w:t>
      </w:r>
    </w:p>
    <w:p w14:paraId="658AD8D1" w14:textId="53D0AC97" w:rsidR="00600EA5" w:rsidRPr="00600EA5" w:rsidRDefault="00F76AE8" w:rsidP="007F5298">
      <w:pPr>
        <w:pStyle w:val="ListParagraph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>You can always remove expenses / documents if they are no longer relevant after receiv</w:t>
      </w:r>
      <w:r w:rsidR="008C2A96">
        <w:rPr>
          <w:rFonts w:ascii="Arial" w:hAnsi="Arial" w:cs="Arial"/>
          <w:color w:val="000000"/>
          <w:sz w:val="20"/>
          <w:szCs w:val="20"/>
        </w:rPr>
        <w:t>ing</w:t>
      </w:r>
      <w:r w:rsidRPr="00600EA5">
        <w:rPr>
          <w:rFonts w:ascii="Arial" w:hAnsi="Arial" w:cs="Arial"/>
          <w:color w:val="000000"/>
          <w:sz w:val="20"/>
          <w:szCs w:val="20"/>
        </w:rPr>
        <w:t xml:space="preserve"> guidance</w:t>
      </w:r>
      <w:r w:rsidR="008C2A96">
        <w:rPr>
          <w:rFonts w:ascii="Arial" w:hAnsi="Arial" w:cs="Arial"/>
          <w:color w:val="000000"/>
          <w:sz w:val="20"/>
          <w:szCs w:val="20"/>
        </w:rPr>
        <w:t xml:space="preserve"> from your CPA, Attorney and Banker</w:t>
      </w:r>
    </w:p>
    <w:p w14:paraId="69153558" w14:textId="7AAD4DB3" w:rsidR="00F76AE8" w:rsidRPr="00600EA5" w:rsidRDefault="00F76AE8" w:rsidP="00600EA5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 xml:space="preserve">For each qualified expense – show it is </w:t>
      </w:r>
      <w:r w:rsidRPr="00600EA5">
        <w:rPr>
          <w:rFonts w:ascii="Arial" w:hAnsi="Arial" w:cs="Arial"/>
          <w:i/>
          <w:iCs/>
          <w:color w:val="000000"/>
          <w:sz w:val="20"/>
          <w:szCs w:val="20"/>
        </w:rPr>
        <w:t>paid</w:t>
      </w:r>
    </w:p>
    <w:p w14:paraId="6A33CA3E" w14:textId="77777777" w:rsidR="007F5298" w:rsidRDefault="00F76AE8" w:rsidP="007F5298">
      <w:pPr>
        <w:pStyle w:val="ListParagraph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600EA5">
        <w:rPr>
          <w:rFonts w:ascii="Arial" w:hAnsi="Arial" w:cs="Arial"/>
          <w:color w:val="000000"/>
          <w:sz w:val="20"/>
          <w:szCs w:val="20"/>
        </w:rPr>
        <w:t>Bank / credit card statement, ACH or wire receipt, cancelled checks, bank transcripts, etc. showing the payment</w:t>
      </w:r>
    </w:p>
    <w:p w14:paraId="0FA21743" w14:textId="7645AE11" w:rsidR="00F76AE8" w:rsidRPr="007F5298" w:rsidRDefault="00F76AE8" w:rsidP="00F54CE4">
      <w:pPr>
        <w:pStyle w:val="ListParagraph"/>
        <w:numPr>
          <w:ilvl w:val="1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F5298">
        <w:rPr>
          <w:rFonts w:ascii="Arial" w:hAnsi="Arial" w:cs="Arial"/>
          <w:sz w:val="20"/>
          <w:szCs w:val="20"/>
        </w:rPr>
        <w:t>Payroll is disbursed as net wages and taxes (include both employee vs employer)</w:t>
      </w:r>
    </w:p>
    <w:p w14:paraId="6DD58EEC" w14:textId="223EA33F" w:rsidR="00F76AE8" w:rsidRPr="00600EA5" w:rsidRDefault="00F76AE8" w:rsidP="00600EA5">
      <w:pPr>
        <w:rPr>
          <w:rFonts w:ascii="Arial" w:hAnsi="Arial" w:cs="Arial"/>
          <w:sz w:val="20"/>
          <w:szCs w:val="20"/>
        </w:rPr>
      </w:pPr>
    </w:p>
    <w:p w14:paraId="3B83AC15" w14:textId="2CD89ECB" w:rsidR="002F17E4" w:rsidRPr="007F5298" w:rsidRDefault="00483F9F" w:rsidP="00600E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Potential Causes for Reduced Forgiveness:</w:t>
      </w:r>
    </w:p>
    <w:p w14:paraId="0F305F35" w14:textId="6301881C" w:rsidR="002F17E4" w:rsidRPr="00483F9F" w:rsidRDefault="00483F9F" w:rsidP="00483F9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Style w:val="A0"/>
          <w:rFonts w:ascii="Arial" w:hAnsi="Arial" w:cs="Arial"/>
          <w:sz w:val="20"/>
          <w:szCs w:val="20"/>
        </w:rPr>
        <w:t>R</w:t>
      </w:r>
      <w:r w:rsidR="00F76AE8" w:rsidRPr="00483F9F">
        <w:rPr>
          <w:rStyle w:val="A0"/>
          <w:rFonts w:ascii="Arial" w:hAnsi="Arial" w:cs="Arial"/>
          <w:sz w:val="20"/>
          <w:szCs w:val="20"/>
        </w:rPr>
        <w:t xml:space="preserve">eduction in employees or a 25% or more </w:t>
      </w:r>
      <w:r w:rsidR="002F17E4" w:rsidRPr="00483F9F">
        <w:rPr>
          <w:rStyle w:val="A0"/>
          <w:rFonts w:ascii="Arial" w:hAnsi="Arial" w:cs="Arial"/>
          <w:sz w:val="20"/>
          <w:szCs w:val="20"/>
        </w:rPr>
        <w:t>reduction in</w:t>
      </w:r>
      <w:r w:rsidR="00F76AE8" w:rsidRPr="00483F9F">
        <w:rPr>
          <w:rStyle w:val="A0"/>
          <w:rFonts w:ascii="Arial" w:hAnsi="Arial" w:cs="Arial"/>
          <w:sz w:val="20"/>
          <w:szCs w:val="20"/>
        </w:rPr>
        <w:t xml:space="preserve"> total salaries or wages.</w:t>
      </w:r>
    </w:p>
    <w:p w14:paraId="193592FB" w14:textId="4876A082" w:rsidR="00600EA5" w:rsidRPr="00483F9F" w:rsidRDefault="00600EA5" w:rsidP="00483F9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83F9F">
        <w:rPr>
          <w:rStyle w:val="A0"/>
          <w:rFonts w:ascii="Arial" w:hAnsi="Arial" w:cs="Arial"/>
          <w:sz w:val="20"/>
          <w:szCs w:val="20"/>
        </w:rPr>
        <w:t xml:space="preserve">Reduction in FTE Count – Not re-establishing FTE count by June 30, 2020 will result in a percentage reduction in loan forgiveness. </w:t>
      </w:r>
    </w:p>
    <w:p w14:paraId="4D785983" w14:textId="1120C4F1" w:rsidR="002F17E4" w:rsidRPr="00483F9F" w:rsidRDefault="00F76AE8" w:rsidP="00483F9F">
      <w:pPr>
        <w:pStyle w:val="ListParagraph"/>
        <w:numPr>
          <w:ilvl w:val="0"/>
          <w:numId w:val="19"/>
        </w:numPr>
        <w:rPr>
          <w:rStyle w:val="A0"/>
          <w:rFonts w:ascii="Arial" w:hAnsi="Arial" w:cs="Arial"/>
          <w:sz w:val="20"/>
          <w:szCs w:val="20"/>
        </w:rPr>
      </w:pPr>
      <w:r w:rsidRPr="00483F9F">
        <w:rPr>
          <w:rStyle w:val="A0"/>
          <w:rFonts w:ascii="Arial" w:hAnsi="Arial" w:cs="Arial"/>
          <w:sz w:val="20"/>
          <w:szCs w:val="20"/>
        </w:rPr>
        <w:t>Reduction in Wages - An employer who cuts wages by more than 25% would receive a dollar-for-dollar</w:t>
      </w:r>
      <w:r w:rsidR="00600EA5" w:rsidRPr="00483F9F">
        <w:rPr>
          <w:rStyle w:val="A0"/>
          <w:rFonts w:ascii="Arial" w:hAnsi="Arial" w:cs="Arial"/>
          <w:sz w:val="20"/>
          <w:szCs w:val="20"/>
        </w:rPr>
        <w:t xml:space="preserve"> </w:t>
      </w:r>
      <w:r w:rsidRPr="00483F9F">
        <w:rPr>
          <w:rStyle w:val="A0"/>
          <w:rFonts w:ascii="Arial" w:hAnsi="Arial" w:cs="Arial"/>
          <w:sz w:val="20"/>
          <w:szCs w:val="20"/>
        </w:rPr>
        <w:t>reduction in loan forgiveness</w:t>
      </w:r>
      <w:r w:rsidR="00600EA5" w:rsidRPr="00483F9F">
        <w:rPr>
          <w:rStyle w:val="A0"/>
          <w:rFonts w:ascii="Arial" w:hAnsi="Arial" w:cs="Arial"/>
          <w:sz w:val="20"/>
          <w:szCs w:val="20"/>
        </w:rPr>
        <w:t>.</w:t>
      </w:r>
    </w:p>
    <w:p w14:paraId="410769DE" w14:textId="57499E8E" w:rsidR="008C2A96" w:rsidRPr="00F54CE4" w:rsidRDefault="008C2A96" w:rsidP="008C2A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E54936A" w14:textId="60B403E3" w:rsidR="008C2A96" w:rsidRPr="00F54CE4" w:rsidRDefault="008C2A96" w:rsidP="008C2A9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54CE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* Seek guidance from your CPA, Attorney and Banker</w:t>
      </w:r>
    </w:p>
    <w:sectPr w:rsidR="008C2A96" w:rsidRPr="00F54C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8ADF" w14:textId="77777777" w:rsidR="00F60235" w:rsidRDefault="00F60235" w:rsidP="00A96C15">
      <w:pPr>
        <w:spacing w:after="0" w:line="240" w:lineRule="auto"/>
      </w:pPr>
      <w:r>
        <w:separator/>
      </w:r>
    </w:p>
  </w:endnote>
  <w:endnote w:type="continuationSeparator" w:id="0">
    <w:p w14:paraId="11E1232F" w14:textId="77777777" w:rsidR="00F60235" w:rsidRDefault="00F60235" w:rsidP="00A9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F98A" w14:textId="77777777" w:rsidR="00F60235" w:rsidRDefault="00F60235" w:rsidP="00A96C15">
      <w:pPr>
        <w:spacing w:after="0" w:line="240" w:lineRule="auto"/>
      </w:pPr>
      <w:r>
        <w:separator/>
      </w:r>
    </w:p>
  </w:footnote>
  <w:footnote w:type="continuationSeparator" w:id="0">
    <w:p w14:paraId="52E6CA5C" w14:textId="77777777" w:rsidR="00F60235" w:rsidRDefault="00F60235" w:rsidP="00A9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8D9F" w14:textId="77777777" w:rsidR="00A96C15" w:rsidRDefault="00A96C15" w:rsidP="00A96C15">
    <w:pPr>
      <w:pStyle w:val="1-Normal"/>
      <w:jc w:val="center"/>
      <w:rPr>
        <w:noProof/>
      </w:rPr>
    </w:pPr>
    <w:r>
      <w:rPr>
        <w:noProof/>
      </w:rPr>
      <w:drawing>
        <wp:inline distT="0" distB="0" distL="0" distR="0" wp14:anchorId="39CE4C97" wp14:editId="3A5D1246">
          <wp:extent cx="329565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62533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7E0AE" w14:textId="77777777" w:rsidR="00A96C15" w:rsidRDefault="00A96C15" w:rsidP="00A96C15">
    <w:pPr>
      <w:pStyle w:val="1-Normal"/>
      <w:jc w:val="center"/>
      <w:rPr>
        <w:noProof/>
        <w:color w:val="595959"/>
        <w:spacing w:val="20"/>
        <w:sz w:val="18"/>
        <w:szCs w:val="18"/>
      </w:rPr>
    </w:pPr>
    <w:r>
      <w:rPr>
        <w:noProof/>
        <w:color w:val="595959"/>
        <w:spacing w:val="20"/>
        <w:sz w:val="18"/>
        <w:szCs w:val="18"/>
      </w:rPr>
      <w:t>License No. 0A99520</w:t>
    </w:r>
  </w:p>
  <w:p w14:paraId="5CB35DD5" w14:textId="77777777" w:rsidR="00A96C15" w:rsidRDefault="00A96C15" w:rsidP="00A96C15">
    <w:pPr>
      <w:pStyle w:val="1-Normal"/>
      <w:jc w:val="center"/>
      <w:rPr>
        <w:noProof/>
        <w:color w:val="595959"/>
        <w:spacing w:val="20"/>
        <w:sz w:val="18"/>
        <w:szCs w:val="18"/>
      </w:rPr>
    </w:pPr>
    <w:r>
      <w:rPr>
        <w:noProof/>
        <w:color w:val="595959"/>
        <w:spacing w:val="20"/>
        <w:sz w:val="18"/>
        <w:szCs w:val="18"/>
      </w:rPr>
      <w:t>450 B Street, Suite 1800     San Diego, CA 92101-8005</w:t>
    </w:r>
  </w:p>
  <w:p w14:paraId="6823A06C" w14:textId="77777777" w:rsidR="00A96C15" w:rsidRDefault="00A96C15" w:rsidP="00A96C15">
    <w:pPr>
      <w:pStyle w:val="1-Normal"/>
      <w:jc w:val="center"/>
      <w:rPr>
        <w:noProof/>
        <w:color w:val="595959"/>
        <w:spacing w:val="20"/>
        <w:sz w:val="18"/>
        <w:szCs w:val="18"/>
      </w:rPr>
    </w:pPr>
    <w:r>
      <w:rPr>
        <w:noProof/>
        <w:color w:val="595959"/>
        <w:spacing w:val="20"/>
        <w:sz w:val="18"/>
        <w:szCs w:val="18"/>
      </w:rPr>
      <w:t>Tel. 619.234.6848  ●  Fax 619.234.8601  ●  Web www.cavignac.com</w:t>
    </w:r>
  </w:p>
  <w:p w14:paraId="61F69797" w14:textId="77777777" w:rsidR="00A96C15" w:rsidRDefault="00A96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91AA2C"/>
    <w:multiLevelType w:val="hybridMultilevel"/>
    <w:tmpl w:val="6D9ABA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DDBBD0"/>
    <w:multiLevelType w:val="hybridMultilevel"/>
    <w:tmpl w:val="26CCEC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6DECD0"/>
    <w:multiLevelType w:val="hybridMultilevel"/>
    <w:tmpl w:val="A5F406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9FADE3"/>
    <w:multiLevelType w:val="hybridMultilevel"/>
    <w:tmpl w:val="F40DB2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5D4055"/>
    <w:multiLevelType w:val="hybridMultilevel"/>
    <w:tmpl w:val="60B6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4AAD4"/>
    <w:multiLevelType w:val="hybridMultilevel"/>
    <w:tmpl w:val="36D86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891470"/>
    <w:multiLevelType w:val="hybridMultilevel"/>
    <w:tmpl w:val="A5B23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C61F47"/>
    <w:multiLevelType w:val="hybridMultilevel"/>
    <w:tmpl w:val="2188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01EB"/>
    <w:multiLevelType w:val="multilevel"/>
    <w:tmpl w:val="93DC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5F6D4"/>
    <w:multiLevelType w:val="hybridMultilevel"/>
    <w:tmpl w:val="BAE24C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A71D63"/>
    <w:multiLevelType w:val="hybridMultilevel"/>
    <w:tmpl w:val="3300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4EC6"/>
    <w:multiLevelType w:val="multilevel"/>
    <w:tmpl w:val="F5E4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D2FA9"/>
    <w:multiLevelType w:val="hybridMultilevel"/>
    <w:tmpl w:val="A142EA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EC728E"/>
    <w:multiLevelType w:val="multilevel"/>
    <w:tmpl w:val="F5E4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D324E"/>
    <w:multiLevelType w:val="hybridMultilevel"/>
    <w:tmpl w:val="3BA2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D135A"/>
    <w:multiLevelType w:val="hybridMultilevel"/>
    <w:tmpl w:val="503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152F0"/>
    <w:multiLevelType w:val="hybridMultilevel"/>
    <w:tmpl w:val="F5BE0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4D07FD"/>
    <w:multiLevelType w:val="multilevel"/>
    <w:tmpl w:val="4E4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D25EE6"/>
    <w:multiLevelType w:val="hybridMultilevel"/>
    <w:tmpl w:val="C976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8"/>
  </w:num>
  <w:num w:numId="9">
    <w:abstractNumId w:val="4"/>
  </w:num>
  <w:num w:numId="10">
    <w:abstractNumId w:val="14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7"/>
  </w:num>
  <w:num w:numId="16">
    <w:abstractNumId w:val="13"/>
  </w:num>
  <w:num w:numId="17">
    <w:abstractNumId w:val="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E8"/>
    <w:rsid w:val="000174D8"/>
    <w:rsid w:val="00044F97"/>
    <w:rsid w:val="002F17E4"/>
    <w:rsid w:val="00483F9F"/>
    <w:rsid w:val="00590935"/>
    <w:rsid w:val="00600EA5"/>
    <w:rsid w:val="007F5298"/>
    <w:rsid w:val="008C2A96"/>
    <w:rsid w:val="00A96C15"/>
    <w:rsid w:val="00ED2E59"/>
    <w:rsid w:val="00F54CE4"/>
    <w:rsid w:val="00F56702"/>
    <w:rsid w:val="00F60235"/>
    <w:rsid w:val="00F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B721"/>
  <w15:chartTrackingRefBased/>
  <w15:docId w15:val="{6ABBE90F-5FF6-42CE-8C9B-E9C900CF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AE8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76AE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76AE8"/>
    <w:rPr>
      <w:rFonts w:cs="Proxima Nov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76AE8"/>
    <w:pPr>
      <w:ind w:left="720"/>
      <w:contextualSpacing/>
    </w:pPr>
  </w:style>
  <w:style w:type="paragraph" w:customStyle="1" w:styleId="1-Normal">
    <w:name w:val="1-Normal"/>
    <w:qFormat/>
    <w:rsid w:val="00F5670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15"/>
  </w:style>
  <w:style w:type="paragraph" w:styleId="Footer">
    <w:name w:val="footer"/>
    <w:basedOn w:val="Normal"/>
    <w:link w:val="FooterChar"/>
    <w:uiPriority w:val="99"/>
    <w:unhideWhenUsed/>
    <w:rsid w:val="00A9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 Hamilton</dc:creator>
  <cp:keywords/>
  <dc:description/>
  <cp:lastModifiedBy>Jase Hamilton</cp:lastModifiedBy>
  <cp:revision>7</cp:revision>
  <dcterms:created xsi:type="dcterms:W3CDTF">2020-05-12T21:27:00Z</dcterms:created>
  <dcterms:modified xsi:type="dcterms:W3CDTF">2020-05-15T22:13:00Z</dcterms:modified>
</cp:coreProperties>
</file>